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BioTitle"/>
        <w:jc w:val="center"/>
      </w:pPr>
      <w:r>
        <w:t>Curtis Bolton - Professional Biography</w:t>
      </w:r>
    </w:p>
    <w:p>
      <w:pPr>
        <w:pStyle w:val="BioSubtitle"/>
        <w:jc w:val="center"/>
      </w:pPr>
      <w:r>
        <w:t>Manufacturers of Excellence</w:t>
      </w:r>
    </w:p>
    <w:p>
      <w:pPr>
        <w:spacing w:before="20" w:after="160"/>
        <w:pBdr>
          <w:bottom w:val="single" w:sz="8" w:space="1" w:color="D4AF37"/>
        </w:pBdr>
      </w:pPr>
    </w:p>
    <w:p>
      <w:pPr>
        <w:pStyle w:val="BioBody"/>
        <w:jc w:val="both"/>
      </w:pPr>
      <w:r>
        <w:t>Curtis Bolton is a seasoned procurement, manufacturing, and supply chain professional with more than 18 years of experience supporting complex operations across the aerospace, construction, energy, and nuclear sectors. Combined with 23 years of service in the United States Army, he brings a rare blend of leadership, operational discipline, strategic sourcing expertise, and mission-focused execution to every organization he serves.</w:t>
      </w:r>
    </w:p>
    <w:p>
      <w:pPr>
        <w:pStyle w:val="BioBody"/>
        <w:jc w:val="both"/>
      </w:pPr>
      <w:r>
        <w:t>Throughout his career, Curtis has managed the procurement of technical products and services while partnering with engineering, quality, manufacturing, operations, finance, and executive leadership to deliver cost-effective, compliant, and reliable supply chain solutions. His work has supported highly regulated environments where supplier performance, quality assurance, schedule adherence, documentation, and risk control are critical to mission success.</w:t>
      </w:r>
    </w:p>
    <w:p>
      <w:pPr>
        <w:pStyle w:val="BioBody"/>
        <w:jc w:val="both"/>
      </w:pPr>
      <w:r>
        <w:t>Curtis has developed strong expertise in strategic sourcing, RFQ and RFP management, supplier qualification, contract negotiations, logistics, inventory management, manufacturing processes, and cross-functional project execution. His experience includes supporting major construction initiatives, aerospace-related manufacturing requirements, and energy-sector operations, including work tied to conventional power generation, renewable energy, and nuclear environments.</w:t>
      </w:r>
    </w:p>
    <w:p>
      <w:pPr>
        <w:pStyle w:val="BioBody"/>
        <w:jc w:val="both"/>
      </w:pPr>
      <w:r>
        <w:t>A veteran leader with a steady, results-driven approach, Curtis applies the same calm-under-pressure mindset developed during his military career to the challenges of modern manufacturing and supply chain management. He is skilled at identifying capable suppliers, resolving delivery and documentation issues, protecting schedules, and building strong relationships with both internal stakeholders and external partners.</w:t>
      </w:r>
    </w:p>
    <w:p>
      <w:pPr>
        <w:pStyle w:val="BioBody"/>
        <w:jc w:val="both"/>
      </w:pPr>
      <w:r>
        <w:t>Curtis holds a Bachelor of Science in Criminal Justice and a Bachelor of Science in Sustainability, reflecting his commitment to continuous learning, disciplined decision-making, and long-term operational improvement. His academic background, combined with his military and industry experience, gives him a broad perspective on compliance, risk, resource management, and sustainable business practices.</w:t>
      </w:r>
    </w:p>
    <w:p>
      <w:pPr>
        <w:pStyle w:val="BioBody"/>
        <w:jc w:val="both"/>
      </w:pPr>
      <w:r>
        <w:t>As part of Manufacturers of Excellence, Curtis brings decades of leadership, procurement, and manufacturing experience to help organizations strengthen supplier networks, improve sourcing strategies, support compliance readiness, and build resilient partnerships that drive world-class operational performance.</w:t>
      </w:r>
    </w:p>
    <w:p>
      <w:pPr>
        <w:spacing w:before="40" w:after="60"/>
      </w:pPr>
      <w:r>
        <w:rPr>
          <w:b/>
          <w:color w:val="1F344E"/>
          <w:sz w:val="22"/>
        </w:rPr>
        <w:t>Core Strengths</w:t>
      </w:r>
    </w:p>
    <w:tbl>
      <w:tblPr>
        <w:tblW w:type="auto" w:w="0"/>
        <w:tblLayout w:type="autofit"/>
        <w:tblLook w:firstColumn="1" w:firstRow="1" w:lastColumn="0" w:lastRow="0" w:noHBand="0" w:noVBand="1" w:val="04A0"/>
      </w:tblPr>
      <w:tblGrid>
        <w:gridCol w:w="5040"/>
        <w:gridCol w:w="5040"/>
      </w:tblGrid>
      <w:tr>
        <w:tc>
          <w:tcPr>
            <w:tcW w:type="dxa" w:w="5040"/>
            <w:tcBorders>
              <w:top w:val="nil"/>
              <w:left w:val="nil"/>
              <w:bottom w:val="nil"/>
              <w:right w:val="nil"/>
              <w:insideH w:val="nil"/>
              <w:insideV w:val="nil"/>
            </w:tcBorders>
          </w:tcPr>
          <w:p>
            <w:pPr>
              <w:pStyle w:val="BioBody"/>
              <w:spacing w:after="20"/>
              <w:ind w:left="0"/>
            </w:pPr>
            <w:r>
              <w:rPr>
                <w:sz w:val="18"/>
              </w:rPr>
              <w:t>•  Strategic sourcing and supplier relationship management</w:t>
            </w:r>
          </w:p>
        </w:tc>
        <w:tc>
          <w:tcPr>
            <w:tcW w:type="dxa" w:w="5040"/>
            <w:tcBorders>
              <w:top w:val="nil"/>
              <w:left w:val="nil"/>
              <w:bottom w:val="nil"/>
              <w:right w:val="nil"/>
              <w:insideH w:val="nil"/>
              <w:insideV w:val="nil"/>
            </w:tcBorders>
          </w:tcPr>
          <w:p>
            <w:pPr>
              <w:pStyle w:val="BioBody"/>
              <w:spacing w:after="20"/>
              <w:ind w:left="0"/>
            </w:pPr>
            <w:r>
              <w:rPr>
                <w:sz w:val="18"/>
              </w:rPr>
              <w:t>•  Cross-functional collaboration with engineering, operations, quality, and finance</w:t>
            </w:r>
          </w:p>
        </w:tc>
      </w:tr>
      <w:tr>
        <w:tc>
          <w:tcPr>
            <w:tcW w:type="dxa" w:w="5040"/>
            <w:tcBorders>
              <w:top w:val="nil"/>
              <w:left w:val="nil"/>
              <w:bottom w:val="nil"/>
              <w:right w:val="nil"/>
              <w:insideH w:val="nil"/>
              <w:insideV w:val="nil"/>
            </w:tcBorders>
          </w:tcPr>
          <w:p>
            <w:pPr>
              <w:pStyle w:val="BioBody"/>
              <w:spacing w:after="20"/>
              <w:ind w:left="0"/>
            </w:pPr>
            <w:r>
              <w:rPr>
                <w:sz w:val="18"/>
              </w:rPr>
              <w:t>•  Manufacturing, construction, aerospace, energy, and nuclear supply chain support</w:t>
            </w:r>
          </w:p>
        </w:tc>
        <w:tc>
          <w:tcPr>
            <w:tcW w:type="dxa" w:w="5040"/>
            <w:tcBorders>
              <w:top w:val="nil"/>
              <w:left w:val="nil"/>
              <w:bottom w:val="nil"/>
              <w:right w:val="nil"/>
              <w:insideH w:val="nil"/>
              <w:insideV w:val="nil"/>
            </w:tcBorders>
          </w:tcPr>
          <w:p>
            <w:pPr>
              <w:pStyle w:val="BioBody"/>
              <w:spacing w:after="20"/>
              <w:ind w:left="0"/>
            </w:pPr>
            <w:r>
              <w:rPr>
                <w:sz w:val="18"/>
              </w:rPr>
              <w:t>•  Risk mitigation, compliance support, documentation control, and schedule protection</w:t>
            </w:r>
          </w:p>
        </w:tc>
      </w:tr>
      <w:tr>
        <w:tc>
          <w:tcPr>
            <w:tcW w:type="dxa" w:w="5040"/>
            <w:tcBorders>
              <w:top w:val="nil"/>
              <w:left w:val="nil"/>
              <w:bottom w:val="nil"/>
              <w:right w:val="nil"/>
              <w:insideH w:val="nil"/>
              <w:insideV w:val="nil"/>
            </w:tcBorders>
          </w:tcPr>
          <w:p>
            <w:pPr>
              <w:pStyle w:val="BioBody"/>
              <w:spacing w:after="20"/>
              <w:ind w:left="0"/>
            </w:pPr>
            <w:r>
              <w:rPr>
                <w:sz w:val="18"/>
              </w:rPr>
              <w:t>•  RFQ/RFP execution, negotiations, purchase orders, and invoice issue resolution</w:t>
            </w:r>
          </w:p>
        </w:tc>
        <w:tc>
          <w:tcPr>
            <w:tcW w:type="dxa" w:w="5040"/>
            <w:tcBorders>
              <w:top w:val="nil"/>
              <w:left w:val="nil"/>
              <w:bottom w:val="nil"/>
              <w:right w:val="nil"/>
              <w:insideH w:val="nil"/>
              <w:insideV w:val="nil"/>
            </w:tcBorders>
          </w:tcPr>
          <w:p>
            <w:pPr>
              <w:pStyle w:val="BioBody"/>
              <w:spacing w:after="20"/>
              <w:ind w:left="0"/>
            </w:pPr>
            <w:r>
              <w:rPr>
                <w:sz w:val="18"/>
              </w:rPr>
              <w:t>•  Military leadership, logistics discipline, and mission-focused problem solving</w:t>
            </w:r>
          </w:p>
        </w:tc>
      </w:tr>
    </w:tbl>
    <w:sectPr w:rsidR="00FC693F" w:rsidRPr="0006063C" w:rsidSect="00034616">
      <w:footerReference w:type="default" r:id="rId9"/>
      <w:pgSz w:w="12240" w:h="15840"/>
      <w:pgMar w:top="792"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95959"/>
        <w:sz w:val="16"/>
      </w:rPr>
      <w:t>Manufacturers of Excellence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ioTitle">
    <w:name w:val="Bio Title"/>
    <w:rPr>
      <w:rFonts w:ascii="Aptos Display" w:hAnsi="Aptos Display" w:eastAsia="Aptos Display"/>
      <w:b/>
      <w:color w:val="1F344E"/>
      <w:sz w:val="36"/>
    </w:rPr>
  </w:style>
  <w:style w:type="paragraph" w:customStyle="1" w:styleId="BioSubtitle">
    <w:name w:val="Bio Subtitle"/>
    <w:rPr>
      <w:rFonts w:ascii="Aptos" w:hAnsi="Aptos" w:eastAsia="Aptos"/>
      <w:i/>
      <w:color w:val="595959"/>
      <w:sz w:val="18"/>
    </w:rPr>
  </w:style>
  <w:style w:type="paragraph" w:customStyle="1" w:styleId="BioBody">
    <w:name w:val="Bio Body"/>
    <w:pPr>
      <w:spacing w:after="120" w:line="240" w:lineRule="auto"/>
    </w:pPr>
    <w:rPr>
      <w:rFonts w:ascii="Aptos" w:hAnsi="Aptos" w:eastAsia="Apto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